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AE45D" w14:textId="77777777" w:rsidR="00186BC1" w:rsidRDefault="00186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2076E92" w14:textId="145E8419" w:rsidR="00186BC1" w:rsidRDefault="009B20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A2555">
        <w:rPr>
          <w:rFonts w:ascii="Calibri" w:eastAsia="Calibri" w:hAnsi="Calibri" w:cs="Calibri"/>
          <w:b/>
          <w:color w:val="000000"/>
          <w:sz w:val="22"/>
          <w:szCs w:val="22"/>
        </w:rPr>
        <w:t>Williamson Fellows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Lesson Planning T</w:t>
      </w:r>
      <w:r w:rsidR="00AD2954">
        <w:rPr>
          <w:rFonts w:ascii="Calibri" w:eastAsia="Calibri" w:hAnsi="Calibri" w:cs="Calibri"/>
          <w:b/>
          <w:color w:val="000000"/>
          <w:sz w:val="22"/>
          <w:szCs w:val="22"/>
        </w:rPr>
        <w:t>emplate</w:t>
      </w:r>
    </w:p>
    <w:tbl>
      <w:tblPr>
        <w:tblStyle w:val="2"/>
        <w:tblW w:w="10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3480"/>
        <w:gridCol w:w="3483"/>
      </w:tblGrid>
      <w:tr w:rsidR="00186BC1" w14:paraId="5A670A98" w14:textId="77777777">
        <w:trPr>
          <w:trHeight w:val="340"/>
        </w:trPr>
        <w:tc>
          <w:tcPr>
            <w:tcW w:w="3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29A604" w14:textId="772FBFD6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Grade</w:t>
            </w:r>
            <w:r w:rsidR="00EA255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(s</w:t>
            </w:r>
            <w:r w:rsidR="00A845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): </w:t>
            </w:r>
            <w:r w:rsidR="00980BAE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6,7,8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2AC2B" w14:textId="7B51514C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Topic: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980BA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Water Cycle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239063" w14:textId="1BDC56C5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#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A845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in a series of </w:t>
            </w:r>
            <w:r w:rsidR="00A8450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lessons</w:t>
            </w:r>
          </w:p>
        </w:tc>
      </w:tr>
      <w:tr w:rsidR="00186BC1" w14:paraId="0AFDF787" w14:textId="77777777">
        <w:trPr>
          <w:trHeight w:val="22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4E842B" w14:textId="164BBD99" w:rsidR="00186BC1" w:rsidRPr="00772F95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Brief Lesson Description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 </w:t>
            </w:r>
            <w:r w:rsidR="00A84506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This lesson will reinforce </w:t>
            </w:r>
            <w:r w:rsidR="00621BF5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the 7 main components</w:t>
            </w:r>
            <w:r w:rsidR="00A84506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of the water cycle</w:t>
            </w:r>
            <w:r w:rsidR="00621BF5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through an interactive game (water</w:t>
            </w:r>
            <w:r w:rsidR="00E86A16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cycle</w:t>
            </w:r>
            <w:r w:rsidR="00621BF5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jeopardy).</w:t>
            </w:r>
          </w:p>
          <w:p w14:paraId="2A314442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145B43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6BC1" w14:paraId="677B0729" w14:textId="77777777">
        <w:trPr>
          <w:trHeight w:val="46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0DB5E2" w14:textId="4AA423BA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Learning Outcome(s):  </w:t>
            </w:r>
            <w:r w:rsidR="00E945A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Students should be able to </w:t>
            </w:r>
            <w:r w:rsidR="00910E8B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identify</w:t>
            </w:r>
            <w:r w:rsidR="00E945A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the </w:t>
            </w:r>
            <w:r w:rsidR="00621BF5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7</w:t>
            </w:r>
            <w:r w:rsidR="00E945A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main components of the water cycle.</w:t>
            </w:r>
          </w:p>
          <w:p w14:paraId="099CB8EB" w14:textId="65F347FE" w:rsidR="00621BF5" w:rsidRPr="00621BF5" w:rsidRDefault="0062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Students should have an appreciation of how only a fraction of water is available for human use.</w:t>
            </w:r>
          </w:p>
          <w:p w14:paraId="45076FA6" w14:textId="63E2EC4C" w:rsidR="00186BC1" w:rsidRPr="00EA2555" w:rsidRDefault="00B25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Students should </w:t>
            </w:r>
            <w:r w:rsidR="00BD51DB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have an appreciation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of how human activity can impact the water cycle.</w:t>
            </w:r>
          </w:p>
          <w:p w14:paraId="49531742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B024A8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6BC1" w14:paraId="6AFB3AA9" w14:textId="77777777">
        <w:trPr>
          <w:trHeight w:val="10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00FCF" w14:textId="77777777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Background Information </w:t>
            </w:r>
          </w:p>
        </w:tc>
      </w:tr>
      <w:tr w:rsidR="00186BC1" w14:paraId="625E4AFD" w14:textId="77777777" w:rsidTr="002B5238">
        <w:trPr>
          <w:trHeight w:val="1731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F74478" w14:textId="77777777" w:rsidR="00186BC1" w:rsidRDefault="0077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Provide necessary background information about </w:t>
            </w:r>
            <w:r w:rsid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ideas or </w:t>
            </w:r>
            <w:r w:rsidR="00D02657"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concepts that students need to know </w:t>
            </w:r>
            <w:r w:rsidR="00D02657" w:rsidRPr="00772F95">
              <w:rPr>
                <w:rFonts w:ascii="Calibri" w:eastAsia="Calibri" w:hAnsi="Calibri" w:cs="Calibri"/>
                <w:b/>
                <w:i/>
                <w:iCs/>
                <w:color w:val="0070C0"/>
                <w:sz w:val="18"/>
                <w:szCs w:val="18"/>
              </w:rPr>
              <w:t>before</w:t>
            </w:r>
            <w:r w:rsidR="00D02657"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beginning this lesson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(e.g., students should know that CO</w:t>
            </w:r>
            <w:r w:rsidRPr="00772F95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is a major greenhouse gas, or students should understand the role that water plays in weathering and erosion, etc.).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You may want to describe why these ideas are important.</w:t>
            </w:r>
          </w:p>
          <w:p w14:paraId="1BFE82C2" w14:textId="77777777" w:rsidR="00621BF5" w:rsidRDefault="0062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</w:pPr>
          </w:p>
          <w:p w14:paraId="430643A8" w14:textId="066B5A82" w:rsidR="00621BF5" w:rsidRDefault="00574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For HW the night before, students will watch</w:t>
            </w:r>
            <w:r w:rsidR="002B79D8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a</w:t>
            </w:r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n</w:t>
            </w:r>
            <w:r w:rsidR="002B79D8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introductory</w:t>
            </w:r>
            <w:r w:rsidR="002B79D8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video on the water cycle.</w:t>
            </w:r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There are many effective videos on </w:t>
            </w:r>
            <w:proofErr w:type="spellStart"/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Youtube</w:t>
            </w:r>
            <w:proofErr w:type="spellEnd"/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.</w:t>
            </w:r>
            <w:r w:rsidR="002B79D8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The Brain Pop video on the water cycle</w:t>
            </w:r>
            <w:r w:rsidR="00F90E91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(linked below)</w:t>
            </w:r>
            <w:r w:rsidR="00ED7FF9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 xml:space="preserve"> is a good resource. </w:t>
            </w:r>
          </w:p>
        </w:tc>
      </w:tr>
      <w:tr w:rsidR="00186BC1" w14:paraId="742FA9C4" w14:textId="77777777">
        <w:trPr>
          <w:trHeight w:val="1820"/>
        </w:trPr>
        <w:tc>
          <w:tcPr>
            <w:tcW w:w="3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83CE0" w14:textId="77777777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Science &amp; Engineering Practices: </w:t>
            </w:r>
          </w:p>
          <w:p w14:paraId="1166A133" w14:textId="77777777" w:rsidR="00D02657" w:rsidRDefault="00D0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List up to three Science &amp; Engineering Practices th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at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student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will engage </w:t>
            </w:r>
            <w:r w:rsidR="001D754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in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during this lesson.</w:t>
            </w:r>
          </w:p>
          <w:p w14:paraId="062B7F6F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566FA646" w14:textId="18C6D926" w:rsidR="002B2900" w:rsidRPr="00D02657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Developing and using models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F63DDA" w14:textId="77777777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Disciplinary Core Ideas: </w:t>
            </w:r>
          </w:p>
          <w:p w14:paraId="3BAAC531" w14:textId="77777777" w:rsidR="00D02657" w:rsidRDefault="00D0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List up to three 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Disciplinary Core Ideas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at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are addressed in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this lesson.</w:t>
            </w:r>
          </w:p>
          <w:p w14:paraId="599A0FFD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40E80559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(PS1) Matter and its interactions</w:t>
            </w:r>
          </w:p>
          <w:p w14:paraId="6A618148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(ESS2) Earth’s systems</w:t>
            </w:r>
          </w:p>
          <w:p w14:paraId="144AA785" w14:textId="02FE9E02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(ESS3) Earth and Human Activity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B3DCDB" w14:textId="77777777" w:rsidR="001D7547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Crosscutting Concepts:  </w:t>
            </w:r>
          </w:p>
          <w:p w14:paraId="57B588D6" w14:textId="77777777" w:rsidR="00186BC1" w:rsidRDefault="001D7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List up to three 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Crosscutting Concepts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at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are addressed in</w:t>
            </w:r>
            <w:r w:rsidRPr="00D02657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this lesson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</w:t>
            </w:r>
          </w:p>
          <w:p w14:paraId="7F0FDAC4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133677B2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Energy and matter</w:t>
            </w:r>
          </w:p>
          <w:p w14:paraId="4A42806B" w14:textId="77777777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Systems and system models</w:t>
            </w:r>
          </w:p>
          <w:p w14:paraId="0F0955DD" w14:textId="4F8F255F" w:rsidR="002B2900" w:rsidRDefault="002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Scale, proportion, and quantity</w:t>
            </w:r>
          </w:p>
        </w:tc>
      </w:tr>
      <w:tr w:rsidR="00186BC1" w14:paraId="43BD3C40" w14:textId="77777777" w:rsidTr="002B5238">
        <w:trPr>
          <w:trHeight w:val="957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C407" w14:textId="606D415F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Possible Preconceptions/Misconceptions: </w:t>
            </w:r>
            <w:r w:rsidR="0019399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57493B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T</w:t>
            </w:r>
            <w:r w:rsidR="005F2161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he amount of water on the planet is declining due to climate change</w:t>
            </w:r>
            <w:r w:rsidR="0057493B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 This statement is false. Climate change impacts the water cycle (precipitation patterns, temperature, etc.), but does not impact the amount of water on earth.</w:t>
            </w:r>
          </w:p>
        </w:tc>
      </w:tr>
      <w:tr w:rsidR="00186BC1" w14:paraId="0EFEEB2B" w14:textId="77777777">
        <w:trPr>
          <w:trHeight w:val="120"/>
        </w:trPr>
        <w:tc>
          <w:tcPr>
            <w:tcW w:w="10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99465" w14:textId="05B47AA4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LESSON PLAN </w:t>
            </w:r>
            <w:r w:rsidR="00673D6E" w:rsidRPr="00673D6E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This template uses the “5E” model to </w:t>
            </w:r>
            <w:r w:rsidR="00673D6E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help with</w:t>
            </w:r>
            <w:r w:rsidR="00673D6E" w:rsidRPr="00673D6E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planning:  Engage, Explore, Explain, Elaborate and Evaluate</w:t>
            </w:r>
          </w:p>
        </w:tc>
      </w:tr>
      <w:tr w:rsidR="00186BC1" w14:paraId="17F77B72" w14:textId="77777777" w:rsidTr="002B5238">
        <w:trPr>
          <w:trHeight w:val="1137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07D516" w14:textId="77777777" w:rsidR="0057493B" w:rsidRDefault="009B20F7" w:rsidP="0019399F">
            <w:pP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 w:rsidRP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ENGAGE</w:t>
            </w:r>
            <w:r w:rsidR="00AF4D73" w:rsidRP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19399F" w:rsidRPr="00AF4D73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Describe </w:t>
            </w:r>
            <w:r w:rsidR="0019399F" w:rsidRP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how you will start the lesson.   How will get students engaged? What prompts will you use to help </w:t>
            </w:r>
            <w:r w:rsid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students</w:t>
            </w:r>
            <w:r w:rsidR="0019399F" w:rsidRP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access prior knowledge?  How will you stimulate their interest and generate questions?  </w:t>
            </w:r>
            <w:r w:rsid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This could be </w:t>
            </w:r>
            <w:r w:rsidR="002B5238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an interesting</w:t>
            </w:r>
            <w:r w:rsid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picture, a video</w:t>
            </w:r>
            <w:r w:rsidR="002B5238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with background information</w:t>
            </w:r>
            <w:r w:rsidR="0019399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, an activity, a game, or even just a series of questions that you ask the students.  You can include a pre-assessment here as well – this could be a written “quiz” or just asking questions of the students to gauge what they already know about the subject.</w:t>
            </w:r>
          </w:p>
          <w:p w14:paraId="3D43F7DF" w14:textId="77777777" w:rsidR="0057493B" w:rsidRDefault="0057493B" w:rsidP="0019399F">
            <w:pP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68A138C7" w14:textId="77777777" w:rsidR="0057493B" w:rsidRDefault="0057493B" w:rsidP="0019399F">
            <w:pP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6490897D" w14:textId="6F801415" w:rsidR="00186BC1" w:rsidRPr="0019399F" w:rsidRDefault="0057493B" w:rsidP="0019399F">
            <w:pPr>
              <w:rPr>
                <w:rFonts w:eastAsia="Calibri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Students will</w:t>
            </w:r>
            <w:r w:rsidR="00E7202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participate in a water cycle Kahoot as a warmup activity. The link is provided below. At the end of each question, teachers should go through and briefly explain correct answers to</w:t>
            </w:r>
            <w:r w:rsidR="0091209A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the entire class to</w:t>
            </w:r>
            <w:r w:rsidR="00E7202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91209A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clear up any misconceptions.</w:t>
            </w:r>
            <w:hyperlink r:id="rId6" w:history="1"/>
          </w:p>
        </w:tc>
      </w:tr>
      <w:tr w:rsidR="00186BC1" w14:paraId="2E44E6B0" w14:textId="77777777">
        <w:trPr>
          <w:trHeight w:val="98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F73B32" w14:textId="615F772A" w:rsidR="00186BC1" w:rsidRDefault="0019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hyperlink r:id="rId7" w:history="1"/>
            <w:r w:rsidR="009B20F7" w:rsidRP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EXPLORE</w:t>
            </w:r>
            <w:r w:rsidR="009B20F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Lesson Description</w:t>
            </w:r>
            <w:r w:rsidR="002B5238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  <w:p w14:paraId="6193AE7F" w14:textId="799A1A85" w:rsidR="002B79D8" w:rsidRDefault="002B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1BAB6309" w14:textId="2342BA9D" w:rsidR="002B79D8" w:rsidRDefault="002B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Jeopardy!!</w:t>
            </w:r>
            <w:r w:rsidR="0050044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(with different rules from normal jeopardy)</w:t>
            </w:r>
          </w:p>
          <w:p w14:paraId="0094D5D4" w14:textId="68DBE87A" w:rsidR="0057493B" w:rsidRDefault="00574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57726E95" w14:textId="6B7F4641" w:rsidR="0057493B" w:rsidRDefault="0043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Teachers will administer a jeopardy game for the class (template provided below). Students will be divided into teams of three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to four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 Teachers will determine a random order prior to starting the game</w:t>
            </w:r>
            <w:r w:rsidR="0050044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</w:t>
            </w:r>
          </w:p>
          <w:p w14:paraId="3A62B074" w14:textId="771828C1" w:rsidR="0043157F" w:rsidRDefault="0043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4D96B61D" w14:textId="4630708F" w:rsidR="00B57DC4" w:rsidRDefault="0043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At the start of each turn, each group will have the opportunity to </w:t>
            </w:r>
            <w:r w:rsidR="0066504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pick 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the topmost unpicked square in any row. The teacher will then click on the link in the corresponding square, and this will prompt the students with a question. 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All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group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will have 60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-120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seconds to discuss answers to the question and come to a consensus before presenting their answer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to the class</w:t>
            </w:r>
            <w:r w:rsidR="00EE0B3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(if there is access to handheld white boards, have students write their answers on them)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. 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All groups that present a correct answer will be awarded the </w:t>
            </w:r>
            <w:proofErr w:type="gramStart"/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amount</w:t>
            </w:r>
            <w:proofErr w:type="gramEnd"/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of points shown in the square. Incorrect answers will not receive points. The 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teacher will keep tally 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of scores on the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whiteboard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(or in a Zoom chat if done virtually)</w:t>
            </w:r>
            <w:r w:rsidR="00E86A1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</w:t>
            </w:r>
            <w:r w:rsidR="0050044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The</w:t>
            </w:r>
            <w:r w:rsidR="00B57DC4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next group in the predetermined order will pick a new square to start the next turn.</w:t>
            </w:r>
          </w:p>
          <w:p w14:paraId="79F4936D" w14:textId="77777777" w:rsidR="00B57DC4" w:rsidRDefault="00B57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5210BD6E" w14:textId="60EEADB1" w:rsidR="00500449" w:rsidRDefault="00B57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Teachers should encourage their students to share their thought process when giving their answers, particularly on more difficult questions. </w:t>
            </w:r>
          </w:p>
          <w:p w14:paraId="591518DA" w14:textId="2D5DA0BE" w:rsidR="00DD5EF3" w:rsidRDefault="00DD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7BEC5A35" w14:textId="3F8A3B8A" w:rsidR="00DD5EF3" w:rsidRDefault="00DD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Once the game ends (7 minutes prior to the end of class or once all questions are answered), there will be a post assessment quiz that students will have 5 minutes to complete. </w:t>
            </w:r>
          </w:p>
          <w:p w14:paraId="514D0D1F" w14:textId="77777777" w:rsidR="00AF4D73" w:rsidRDefault="00AF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0C4781A2" w14:textId="0DA6C129" w:rsidR="00AF4D73" w:rsidRDefault="00AF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6BC1" w14:paraId="6A349197" w14:textId="77777777" w:rsidTr="00AF4D73">
        <w:trPr>
          <w:trHeight w:val="1254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AA444" w14:textId="77777777" w:rsidR="00AF4D73" w:rsidRPr="00AF4D73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lastRenderedPageBreak/>
              <w:t xml:space="preserve">EXPLAIN </w:t>
            </w:r>
          </w:p>
          <w:p w14:paraId="16E96D6A" w14:textId="42363804" w:rsidR="00186BC1" w:rsidRDefault="00AF4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Concepts:  </w:t>
            </w:r>
            <w:r w:rsidR="006A6D7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This lesson will cover the 7 main components of the water cycle. </w:t>
            </w:r>
          </w:p>
          <w:p w14:paraId="141749D0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C0AC87A" w14:textId="70E9AB1B" w:rsidR="00E945A6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Vocabulary: </w:t>
            </w:r>
          </w:p>
          <w:p w14:paraId="7584925B" w14:textId="529B8696" w:rsidR="00E945A6" w:rsidRPr="00BC0F52" w:rsidRDefault="00E945A6" w:rsidP="00BC0F52"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Evaporation: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the change of water from a liquid state to a gas state due to an increase in temperature</w:t>
            </w:r>
          </w:p>
          <w:p w14:paraId="4C257907" w14:textId="48338A29" w:rsidR="00E945A6" w:rsidRDefault="00E9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Condensation: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the process by which water changes from a gas to a liquid state</w:t>
            </w:r>
          </w:p>
          <w:p w14:paraId="19194DC4" w14:textId="49C4B8F7" w:rsidR="00E945A6" w:rsidRPr="00BC0F52" w:rsidRDefault="00E945A6" w:rsidP="00BC0F52"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Precipitation: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water that falls from clouds in the form of rain, snow, sleet, or hail</w:t>
            </w:r>
          </w:p>
          <w:p w14:paraId="14D86F9C" w14:textId="7ECE8D77" w:rsidR="00E945A6" w:rsidRDefault="00E9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Runoff: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excess water, not absorbed by the soil, that flows downhill</w:t>
            </w:r>
          </w:p>
          <w:p w14:paraId="5354DD60" w14:textId="2D16EAAF" w:rsidR="00E945A6" w:rsidRDefault="00E9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Infiltration: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the flow of surface water into the subsurface (ground)</w:t>
            </w:r>
          </w:p>
          <w:p w14:paraId="2E324EC2" w14:textId="6CBFF43F" w:rsidR="00E945A6" w:rsidRDefault="00E9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Storage: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water that is stored in a location for a long period of time and is not actively moving through the water cycle (ex: snowpack)</w:t>
            </w:r>
          </w:p>
          <w:p w14:paraId="27514765" w14:textId="741A5812" w:rsidR="00051077" w:rsidRPr="00BC0F52" w:rsidRDefault="00051077" w:rsidP="00BC0F52"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Transpiration:</w:t>
            </w:r>
            <w:r w:rsid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C0F52">
              <w:t>the release of water vapor into the atmosphere by plant leaves</w:t>
            </w:r>
          </w:p>
          <w:p w14:paraId="5C775CEB" w14:textId="411DC599" w:rsidR="00621BF5" w:rsidRPr="00E945A6" w:rsidRDefault="0062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</w:tc>
      </w:tr>
      <w:tr w:rsidR="00186BC1" w14:paraId="1D963C89" w14:textId="77777777">
        <w:trPr>
          <w:trHeight w:val="44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04A21F" w14:textId="2C93A025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ELABORATE:  </w:t>
            </w:r>
          </w:p>
          <w:p w14:paraId="36737206" w14:textId="05EA2E12" w:rsidR="00F90E91" w:rsidRDefault="00F90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</w:p>
          <w:p w14:paraId="03F60C82" w14:textId="1F8F6018" w:rsidR="00F90E91" w:rsidRDefault="00F90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 w:history="1">
              <w:r>
                <w:rPr>
                  <w:rStyle w:val="Hyperlink"/>
                </w:rPr>
                <w:t>The distribution of water on, in, and above the Earth (usgs.gov)</w:t>
              </w:r>
            </w:hyperlink>
          </w:p>
          <w:p w14:paraId="5A6632F0" w14:textId="1DBD0033" w:rsidR="0091209A" w:rsidRDefault="00912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BD644A" w14:textId="431D10C5" w:rsidR="0091209A" w:rsidRDefault="00912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t xml:space="preserve">To get a sense of the distribution of water on earth, teachers can create a mini-lesson or </w:t>
            </w:r>
            <w:proofErr w:type="spellStart"/>
            <w:r>
              <w:t>hw</w:t>
            </w:r>
            <w:proofErr w:type="spellEnd"/>
            <w:r>
              <w:t xml:space="preserve"> assignment with information contained on the web page linked above. </w:t>
            </w:r>
          </w:p>
          <w:p w14:paraId="7DC22F1C" w14:textId="1EEED507" w:rsidR="0031288B" w:rsidRPr="0031288B" w:rsidRDefault="0031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BC1" w14:paraId="18878983" w14:textId="77777777">
        <w:trPr>
          <w:trHeight w:val="54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D14E2" w14:textId="77777777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EVALUATE:  </w:t>
            </w:r>
          </w:p>
          <w:p w14:paraId="5036F605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890870" w14:textId="05C0BE59" w:rsidR="00186BC1" w:rsidRPr="006A6D76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Formative </w:t>
            </w:r>
            <w:r w:rsid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Assessment:  </w:t>
            </w:r>
            <w:r w:rsidR="00AF4D73" w:rsidRPr="00AF4D73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E</w:t>
            </w:r>
            <w:r w:rsidR="002C1930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ach question answered in Jeopardy will provide a</w:t>
            </w:r>
            <w:r w:rsidR="006A6D7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check-in</w:t>
            </w:r>
            <w:r w:rsidR="002C1930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opportunity to assess how the lesson is going. </w:t>
            </w:r>
            <w:r w:rsidR="006A6D7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Teachers will be able to elaborate on correct answers given by students, and they will also be able to clarify any concepts from incorrectly answered questions.</w:t>
            </w:r>
          </w:p>
          <w:p w14:paraId="0F159CBD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2AAF4A" w14:textId="120BB703" w:rsidR="00186BC1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Summative Assessment</w:t>
            </w:r>
            <w:r w:rsidR="00AF4D7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:  </w:t>
            </w:r>
            <w:r w:rsidR="001E535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In the last 5 minutes of class, students will receive a diagram that they will be asked to label with the components of the water cycle. This</w:t>
            </w:r>
            <w:r w:rsidR="008D1BB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can</w:t>
            </w:r>
            <w:r w:rsidR="001E535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be graded as a quiz. Students that paid attention during the class activity</w:t>
            </w:r>
            <w:r w:rsidR="0020299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and the pre-assessment</w:t>
            </w:r>
            <w:r w:rsidR="008D1BBF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(the Kahoot)</w:t>
            </w:r>
            <w:r w:rsidR="001E535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should </w:t>
            </w:r>
            <w:r w:rsidR="002C1930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have minimal trouble</w:t>
            </w:r>
            <w:r w:rsidR="001E5356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202999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completing this activity</w:t>
            </w:r>
            <w:r w:rsidR="002C1930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.</w:t>
            </w:r>
          </w:p>
          <w:p w14:paraId="3F937F4D" w14:textId="77777777" w:rsidR="00186BC1" w:rsidRDefault="00186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6BC1" w14:paraId="4DDBDA40" w14:textId="77777777">
        <w:trPr>
          <w:trHeight w:val="340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695" w14:textId="5E60BF6C" w:rsidR="00186BC1" w:rsidRDefault="002B5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Notes for Instructors: </w:t>
            </w:r>
            <w:r w:rsidR="009B20F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AF4D73" w:rsidRPr="00AF4D73">
              <w:rPr>
                <w:rFonts w:ascii="Calibri" w:eastAsia="Calibri" w:hAnsi="Calibri" w:cs="Calibri"/>
                <w:bCs/>
                <w:i/>
                <w:iCs/>
                <w:color w:val="0070C0"/>
                <w:sz w:val="18"/>
                <w:szCs w:val="18"/>
              </w:rPr>
              <w:t>This can be anything from where to find more information, to troubleshooting activity problems, to where to find certain supplies.</w:t>
            </w:r>
            <w:r w:rsidR="00AF4D73" w:rsidRPr="00AF4D73"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6B386CEA" w14:textId="6EB74D35" w:rsidR="00CB2B17" w:rsidRDefault="00CB2B17">
      <w:pPr>
        <w:pBdr>
          <w:top w:val="nil"/>
          <w:left w:val="nil"/>
          <w:bottom w:val="nil"/>
          <w:right w:val="nil"/>
          <w:between w:val="nil"/>
        </w:pBdr>
      </w:pPr>
    </w:p>
    <w:p w14:paraId="0919E25E" w14:textId="410DEA38" w:rsidR="00CB2B17" w:rsidRDefault="00CB2B17">
      <w:pPr>
        <w:pBdr>
          <w:top w:val="nil"/>
          <w:left w:val="nil"/>
          <w:bottom w:val="nil"/>
          <w:right w:val="nil"/>
          <w:between w:val="nil"/>
        </w:pBdr>
      </w:pPr>
    </w:p>
    <w:p w14:paraId="4DDF376A" w14:textId="77777777" w:rsidR="00CB2B17" w:rsidRDefault="00CB2B1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1"/>
        <w:tblW w:w="10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186BC1" w14:paraId="3995EC33" w14:textId="77777777" w:rsidTr="00A50A7F">
        <w:trPr>
          <w:trHeight w:val="240"/>
        </w:trPr>
        <w:tc>
          <w:tcPr>
            <w:tcW w:w="10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D557CB" w14:textId="77777777" w:rsidR="00186BC1" w:rsidRDefault="009B20F7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Materials Required for This Lesson/Activity</w:t>
            </w:r>
          </w:p>
        </w:tc>
      </w:tr>
      <w:tr w:rsidR="00A50A7F" w14:paraId="78BD07C5" w14:textId="77777777" w:rsidTr="00A50A7F">
        <w:trPr>
          <w:trHeight w:val="6582"/>
        </w:trPr>
        <w:tc>
          <w:tcPr>
            <w:tcW w:w="10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04CA37" w14:textId="77777777" w:rsidR="00A50A7F" w:rsidRDefault="00A50A7F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 w:rsidRPr="00A50A7F">
              <w:rPr>
                <w:i/>
                <w:iCs/>
                <w:color w:val="0070C0"/>
              </w:rPr>
              <w:lastRenderedPageBreak/>
              <w:t>Insert any diagrams, handouts, pictures, or other materials that aren’t available online HERE.</w:t>
            </w:r>
          </w:p>
          <w:p w14:paraId="32E63006" w14:textId="77777777" w:rsidR="00A50A7F" w:rsidRDefault="00A50A7F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Include any hyperlinks to online videos, maps and other resources in the “Explore” part of the lesson.</w:t>
            </w:r>
          </w:p>
          <w:p w14:paraId="3510C29E" w14:textId="77777777" w:rsidR="00A50A7F" w:rsidRDefault="00A50A7F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List any other materials, including quantity, potential supplier and price if it is significant.</w:t>
            </w:r>
          </w:p>
          <w:p w14:paraId="2943444B" w14:textId="77777777" w:rsidR="00E945A6" w:rsidRDefault="00E945A6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</w:p>
          <w:p w14:paraId="5976CF71" w14:textId="40855FBF" w:rsidR="00E945A6" w:rsidRDefault="00E945A6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Jeopardy link:</w:t>
            </w:r>
            <w:r w:rsidR="006A6D76">
              <w:rPr>
                <w:i/>
                <w:iCs/>
                <w:color w:val="0070C0"/>
              </w:rPr>
              <w:t xml:space="preserve"> </w:t>
            </w:r>
            <w:r w:rsidR="00BC0F52">
              <w:rPr>
                <w:i/>
                <w:iCs/>
                <w:color w:val="0070C0"/>
              </w:rPr>
              <w:t xml:space="preserve">See </w:t>
            </w:r>
            <w:proofErr w:type="spellStart"/>
            <w:r w:rsidR="00E7202F">
              <w:rPr>
                <w:i/>
                <w:iCs/>
                <w:color w:val="0070C0"/>
              </w:rPr>
              <w:t>powerpoint</w:t>
            </w:r>
            <w:proofErr w:type="spellEnd"/>
            <w:r w:rsidR="00E7202F">
              <w:rPr>
                <w:i/>
                <w:iCs/>
                <w:color w:val="0070C0"/>
              </w:rPr>
              <w:t xml:space="preserve"> </w:t>
            </w:r>
            <w:r w:rsidR="00BC0F52">
              <w:rPr>
                <w:i/>
                <w:iCs/>
                <w:color w:val="0070C0"/>
              </w:rPr>
              <w:t>on lesson webpage</w:t>
            </w:r>
          </w:p>
          <w:p w14:paraId="422C97DD" w14:textId="0B0C0107" w:rsidR="006A6D76" w:rsidRDefault="006A6D76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Post-assessment li</w:t>
            </w:r>
            <w:r w:rsidR="00BC0F52">
              <w:rPr>
                <w:i/>
                <w:iCs/>
                <w:color w:val="0070C0"/>
              </w:rPr>
              <w:t>nk: See word doc on lesson webpage</w:t>
            </w:r>
          </w:p>
          <w:p w14:paraId="78802456" w14:textId="6165F97C" w:rsidR="006A6D76" w:rsidRDefault="006A6D76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Pre-video link:</w:t>
            </w:r>
            <w:r w:rsidR="00E7202F">
              <w:rPr>
                <w:i/>
                <w:iCs/>
                <w:color w:val="0070C0"/>
              </w:rPr>
              <w:t xml:space="preserve"> </w:t>
            </w:r>
            <w:hyperlink r:id="rId9" w:history="1">
              <w:r w:rsidR="00E7202F">
                <w:rPr>
                  <w:rStyle w:val="Hyperlink"/>
                </w:rPr>
                <w:t>WATER CYCLE - YouTube</w:t>
              </w:r>
            </w:hyperlink>
          </w:p>
          <w:p w14:paraId="717A37D6" w14:textId="4CEC6232" w:rsidR="00E945A6" w:rsidRPr="00BC0F52" w:rsidRDefault="00BC0F52" w:rsidP="00A5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i/>
                <w:iCs/>
                <w:color w:val="0070C0"/>
                <w:sz w:val="22"/>
                <w:szCs w:val="22"/>
              </w:rPr>
            </w:pPr>
            <w:r w:rsidRPr="00BC0F52">
              <w:rPr>
                <w:rFonts w:ascii="Calibri" w:eastAsia="Calibri" w:hAnsi="Calibri" w:cs="Calibri"/>
                <w:bCs/>
                <w:i/>
                <w:iCs/>
                <w:color w:val="0070C0"/>
                <w:sz w:val="22"/>
                <w:szCs w:val="22"/>
              </w:rPr>
              <w:t>Warmup activity link:</w:t>
            </w:r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hyperlink r:id="rId10" w:history="1">
              <w:r w:rsidRPr="001A2FD7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2"/>
                  <w:szCs w:val="22"/>
                </w:rPr>
                <w:t>https://create.kahoot.it/share/water-cycle/ce9e8558-80ea-4fc3-ad1d-4dfc1276e50c</w:t>
              </w:r>
            </w:hyperlink>
            <w:r>
              <w:rPr>
                <w:rFonts w:ascii="Calibri" w:eastAsia="Calibri" w:hAnsi="Calibri" w:cs="Calibri"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37566294" w14:textId="77777777" w:rsidR="00186BC1" w:rsidRDefault="00186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8108ECD" w14:textId="77777777" w:rsidR="00186BC1" w:rsidRDefault="00186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186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6340"/>
      <w:pgMar w:top="630" w:right="894" w:bottom="1440" w:left="8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1429" w14:textId="77777777" w:rsidR="00193771" w:rsidRDefault="00193771" w:rsidP="00EA2555">
      <w:r>
        <w:separator/>
      </w:r>
    </w:p>
  </w:endnote>
  <w:endnote w:type="continuationSeparator" w:id="0">
    <w:p w14:paraId="7BA39479" w14:textId="77777777" w:rsidR="00193771" w:rsidRDefault="00193771" w:rsidP="00E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1670" w14:textId="77777777" w:rsidR="00EA2555" w:rsidRDefault="00EA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B45C" w14:textId="77777777" w:rsidR="00EA2555" w:rsidRDefault="00EA2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EBD1" w14:textId="77777777" w:rsidR="00EA2555" w:rsidRDefault="00EA2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8135" w14:textId="77777777" w:rsidR="00193771" w:rsidRDefault="00193771" w:rsidP="00EA2555">
      <w:r>
        <w:separator/>
      </w:r>
    </w:p>
  </w:footnote>
  <w:footnote w:type="continuationSeparator" w:id="0">
    <w:p w14:paraId="2309CF90" w14:textId="77777777" w:rsidR="00193771" w:rsidRDefault="00193771" w:rsidP="00EA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2429" w14:textId="77777777" w:rsidR="00EA2555" w:rsidRDefault="00EA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49C8" w14:textId="77777777" w:rsidR="00EA2555" w:rsidRDefault="00EA2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5E7" w14:textId="77777777" w:rsidR="00EA2555" w:rsidRDefault="00EA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C1"/>
    <w:rsid w:val="00051077"/>
    <w:rsid w:val="00186BC1"/>
    <w:rsid w:val="00193771"/>
    <w:rsid w:val="0019399F"/>
    <w:rsid w:val="001D7547"/>
    <w:rsid w:val="001E5356"/>
    <w:rsid w:val="00202999"/>
    <w:rsid w:val="00237621"/>
    <w:rsid w:val="002B2900"/>
    <w:rsid w:val="002B5238"/>
    <w:rsid w:val="002B79D8"/>
    <w:rsid w:val="002C1930"/>
    <w:rsid w:val="002D77EC"/>
    <w:rsid w:val="0031288B"/>
    <w:rsid w:val="00330912"/>
    <w:rsid w:val="0034143D"/>
    <w:rsid w:val="00426BDA"/>
    <w:rsid w:val="0043157F"/>
    <w:rsid w:val="00500449"/>
    <w:rsid w:val="00552E3F"/>
    <w:rsid w:val="0057493B"/>
    <w:rsid w:val="005F2161"/>
    <w:rsid w:val="00621BF5"/>
    <w:rsid w:val="00665049"/>
    <w:rsid w:val="00673D6E"/>
    <w:rsid w:val="006A6D76"/>
    <w:rsid w:val="00703F9F"/>
    <w:rsid w:val="00772F95"/>
    <w:rsid w:val="007E0D14"/>
    <w:rsid w:val="007F39F5"/>
    <w:rsid w:val="00827FBB"/>
    <w:rsid w:val="00863750"/>
    <w:rsid w:val="0089048D"/>
    <w:rsid w:val="008D1BBF"/>
    <w:rsid w:val="008E410D"/>
    <w:rsid w:val="008E719F"/>
    <w:rsid w:val="00910E8B"/>
    <w:rsid w:val="0091209A"/>
    <w:rsid w:val="00980BAE"/>
    <w:rsid w:val="009B20F7"/>
    <w:rsid w:val="009C147B"/>
    <w:rsid w:val="009D4BDF"/>
    <w:rsid w:val="00A50A7F"/>
    <w:rsid w:val="00A84506"/>
    <w:rsid w:val="00A97F82"/>
    <w:rsid w:val="00AA0378"/>
    <w:rsid w:val="00AB27AA"/>
    <w:rsid w:val="00AD2954"/>
    <w:rsid w:val="00AE5185"/>
    <w:rsid w:val="00AF4D73"/>
    <w:rsid w:val="00B25C09"/>
    <w:rsid w:val="00B57DC4"/>
    <w:rsid w:val="00BB67F9"/>
    <w:rsid w:val="00BC0780"/>
    <w:rsid w:val="00BC0F52"/>
    <w:rsid w:val="00BD51DB"/>
    <w:rsid w:val="00CB2B17"/>
    <w:rsid w:val="00CE1F8D"/>
    <w:rsid w:val="00CF2A6C"/>
    <w:rsid w:val="00CF452F"/>
    <w:rsid w:val="00D02657"/>
    <w:rsid w:val="00D947ED"/>
    <w:rsid w:val="00DD5EF3"/>
    <w:rsid w:val="00E1538C"/>
    <w:rsid w:val="00E7202F"/>
    <w:rsid w:val="00E86A16"/>
    <w:rsid w:val="00E945A6"/>
    <w:rsid w:val="00EA2555"/>
    <w:rsid w:val="00EC2263"/>
    <w:rsid w:val="00ED7FF9"/>
    <w:rsid w:val="00EE0B3F"/>
    <w:rsid w:val="00F90748"/>
    <w:rsid w:val="00F90E91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C6B6"/>
  <w15:docId w15:val="{246AFBD6-AEC4-40FE-A897-FB685B8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55"/>
  </w:style>
  <w:style w:type="paragraph" w:styleId="Footer">
    <w:name w:val="footer"/>
    <w:basedOn w:val="Normal"/>
    <w:link w:val="FooterChar"/>
    <w:uiPriority w:val="99"/>
    <w:unhideWhenUsed/>
    <w:rsid w:val="00EA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55"/>
  </w:style>
  <w:style w:type="character" w:styleId="Hyperlink">
    <w:name w:val="Hyperlink"/>
    <w:basedOn w:val="DefaultParagraphFont"/>
    <w:uiPriority w:val="99"/>
    <w:unhideWhenUsed/>
    <w:rsid w:val="001939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9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E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E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media/images/distribution-water-and-above-ear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PUB1GU_tvpI&amp;safe=activ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UB1GU_tvpI&amp;safe=acti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reate.kahoot.it/share/water-cycle/ce9e8558-80ea-4fc3-ad1d-4dfc1276e50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OCX4qJ3zt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Lopez</dc:creator>
  <cp:keywords/>
  <dc:description/>
  <cp:lastModifiedBy>Samuel Lopez</cp:lastModifiedBy>
  <cp:revision>10</cp:revision>
  <dcterms:created xsi:type="dcterms:W3CDTF">2021-06-22T13:51:00Z</dcterms:created>
  <dcterms:modified xsi:type="dcterms:W3CDTF">2021-06-28T20:04:00Z</dcterms:modified>
</cp:coreProperties>
</file>